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ind w:firstLine="710"/>
        <w:jc w:val="both"/>
        <w:rPr/>
      </w:pPr>
      <w:r>
        <w:rPr/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Андреева М. В.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Учитель химии и биологии МАОУ «Лицей», г. Лесной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center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Роль каникулярных школ в развитии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center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исследовательских компетенций учащихся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Аннотация: </w:t>
      </w:r>
      <w:r>
        <w:rPr>
          <w:rFonts w:cs="Times New Roman" w:ascii="Times New Roman" w:hAnsi="Times New Roman"/>
          <w:sz w:val="28"/>
          <w:szCs w:val="28"/>
        </w:rPr>
        <w:t>Данная статья посвящена рассмотрению роли каникулярных школ в развитии исследовательских компетенций учащихся. В статье предлагается программа «Витаминно-минеральные комплексы в современном мире» для работы мастерской естественнонаучной направленности в рамках каникулярной школы ИННОГРАД, организованной МАОУ «Лицей» города Лесной.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Ключевые слова: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каникулярная школа, кейсовая образовательная технология.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Каникулы для детей – это не только время отдыха и развлечений, но и важный элемент в их развитии и обучении.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Школьная программа обеспечивает базовые знания по многим дисциплинам, но не всегда предоставляет достаточно времени и ресурсов для глубокого изучения конкретных областей. Во время каникул дети могут посвятить больше времени своим увлечениям, будь то музыка, спорт или наука.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Calibri" w:hAnsi="Calibri" w:eastAsia="Times New Roman" w:cs="Calibri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Уже 8 лет наше образовательное учреждение организует каникулярные школы различных форматов. В работе каникулярной школы происходит содержательная встреча детей и взрослых, они «открывают» друг друга.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color w:val="000000"/>
          <w:sz w:val="28"/>
          <w:szCs w:val="28"/>
          <w:shd w:fill="FFFFFF" w:val="clear"/>
        </w:rPr>
      </w:pPr>
      <w:r>
        <w:rPr>
          <w:color w:val="000000"/>
          <w:sz w:val="28"/>
          <w:szCs w:val="28"/>
          <w:shd w:fill="FFFFFF" w:val="clear"/>
        </w:rPr>
        <w:t>Каникулярная школа для многих ребят становится первой ступенькой приобретения опыта продуктивной творческой деятельности, серьезным шагом к формированию исследовательской компетентности. Регулярная работа каникулярных школ позволит выявлять и поддерживать одарённых обучающихся, развивать их интеллектуальные и творческие способности, поддерживать научно-исследовательские интересы учеников, разрабатывать индивидуальные образовательные маршруты.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Выходом из каникулярной школы для учителя, кроме интенсификации изучения предмета, может быть создание новых элективных курсов, исследовательских кружков, в которых педагог продолжает начавшийся содержательный ход, представляющий для него и детей взаимный интерес, но не укладывающийся в рамки существующей программы.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Style w:val="C4"/>
          <w:bCs/>
          <w:color w:val="000000"/>
          <w:sz w:val="28"/>
          <w:szCs w:val="28"/>
          <w:shd w:fill="FFFFFF" w:val="clear"/>
        </w:rPr>
      </w:pPr>
      <w:r>
        <w:rPr>
          <w:bCs/>
          <w:color w:val="000000"/>
          <w:sz w:val="28"/>
          <w:szCs w:val="28"/>
          <w:shd w:fill="FFFFFF" w:val="clear"/>
        </w:rPr>
        <w:t xml:space="preserve">Каникулярная школа –  площадка для отработки новейших образовательных технологий. </w:t>
      </w:r>
      <w:r>
        <w:rPr>
          <w:color w:val="000000"/>
          <w:sz w:val="28"/>
          <w:szCs w:val="28"/>
          <w:shd w:fill="FFFFFF" w:val="clear"/>
        </w:rPr>
        <w:t>Это технологии открытого образовательного пространства, которые обеспечивают процесс индивидуализации и которые нацелены на самоопределение и выстраивание индивидуальной образовательной траектории учащихся, они носят деятельностный характер обучения, предполагают вариативность, интерактивность, наличие рефлексии в процессе обучения и по окончании его.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Style w:val="C4"/>
          <w:color w:val="000000"/>
          <w:sz w:val="28"/>
          <w:szCs w:val="28"/>
          <w:shd w:fill="FFFFFF" w:val="clear"/>
        </w:rPr>
      </w:pPr>
      <w:r>
        <w:rPr>
          <w:rStyle w:val="C4"/>
          <w:color w:val="000000"/>
          <w:sz w:val="28"/>
          <w:szCs w:val="28"/>
          <w:shd w:fill="FFFFFF" w:val="clear"/>
        </w:rPr>
        <w:t>Одной из форм эффективных технологий обучения является проблемно-ситуативное обучение с использованием кейсов. Внедрение учебных кейсов в практику российского образования в настоящее время является весьма актуальной задачей.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37"/>
          <w:color w:val="000000"/>
          <w:sz w:val="28"/>
          <w:szCs w:val="28"/>
          <w:shd w:fill="FFFFFF" w:val="clear"/>
        </w:rPr>
        <w:t>Кейсовая образовательная технология </w:t>
      </w:r>
      <w:r>
        <w:rPr>
          <w:rStyle w:val="C37"/>
          <w:color w:val="000000"/>
          <w:sz w:val="28"/>
          <w:szCs w:val="28"/>
        </w:rPr>
        <w:t>(Case Study) </w:t>
      </w:r>
      <w:r>
        <w:rPr>
          <w:rStyle w:val="C4"/>
          <w:color w:val="000000"/>
          <w:sz w:val="28"/>
          <w:szCs w:val="28"/>
          <w:shd w:fill="FFFFFF" w:val="clear"/>
        </w:rPr>
        <w:t>– это обучение действием: усвоение знаний и формирование умений есть результат активной самостоятельной деятельности учащихся по разрешению противоречий, в результате чего и происходит творческое овладение профессиональными знаниями, навыками, умениями и развитие мыслительных способностей.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  <w:shd w:fill="FFFFFF" w:val="clear"/>
        </w:rPr>
        <w:t>При использовании кейс–метода в практической деятельности следует помнить об основных идеях (принципах) данного метода: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  <w:shd w:fill="FFFFFF" w:val="clear"/>
        </w:rPr>
        <w:t xml:space="preserve">– </w:t>
      </w:r>
      <w:r>
        <w:rPr>
          <w:rStyle w:val="C4"/>
          <w:color w:val="000000"/>
          <w:sz w:val="28"/>
          <w:szCs w:val="28"/>
          <w:shd w:fill="FFFFFF" w:val="clear"/>
        </w:rPr>
        <w:t>кейс–метод предназначен для получения знаний по дисциплинам, темам, истина в которых неоднозначна;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  <w:shd w:fill="FFFFFF" w:val="clear"/>
        </w:rPr>
        <w:t xml:space="preserve">– </w:t>
      </w:r>
      <w:r>
        <w:rPr>
          <w:rStyle w:val="C4"/>
          <w:color w:val="000000"/>
          <w:sz w:val="28"/>
          <w:szCs w:val="28"/>
          <w:shd w:fill="FFFFFF" w:val="clear"/>
        </w:rPr>
        <w:t>в процессе сотрудничества учителя и учащегося усилия последнего направлены не на овладение готовым знанием, а на его выработку;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  <w:shd w:fill="FFFFFF" w:val="clear"/>
        </w:rPr>
        <w:t xml:space="preserve">– </w:t>
      </w:r>
      <w:r>
        <w:rPr>
          <w:rStyle w:val="C4"/>
          <w:color w:val="000000"/>
          <w:sz w:val="28"/>
          <w:szCs w:val="28"/>
          <w:shd w:fill="FFFFFF" w:val="clear"/>
        </w:rPr>
        <w:t>результатом такой деятельности является не только получение знаний, но и формирование навыков учебной работы (несомненно, такие навыки будут востребованы и в будущей профессиональной деятельности обучающихся).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Calibri" w:hAnsi="Calibri" w:eastAsia="Times New Roman" w:cs="Calibri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Таким образом, образовательная деятельность в режиме каникулярной школы с использованием кейс-метода ориентирована на: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Style w:val="C4"/>
          <w:color w:val="000000"/>
          <w:sz w:val="28"/>
          <w:szCs w:val="28"/>
          <w:shd w:fill="FFFFFF" w:val="clear"/>
        </w:rPr>
        <w:t xml:space="preserve"> –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формирование и развитие информационной компетентности;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sz w:val="28"/>
          <w:szCs w:val="28"/>
          <w:lang w:eastAsia="ru-RU"/>
        </w:rPr>
      </w:pPr>
      <w:r>
        <w:rPr>
          <w:rStyle w:val="C4"/>
          <w:color w:val="000000"/>
          <w:sz w:val="28"/>
          <w:szCs w:val="28"/>
          <w:shd w:fill="FFFFFF" w:val="clear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развитие навыков упорядоченного, структурированного мышления, ориентированного на умение работать с информацией;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sz w:val="28"/>
          <w:szCs w:val="28"/>
          <w:lang w:eastAsia="ru-RU"/>
        </w:rPr>
      </w:pPr>
      <w:r>
        <w:rPr>
          <w:rStyle w:val="C4"/>
          <w:color w:val="000000"/>
          <w:sz w:val="28"/>
          <w:szCs w:val="28"/>
          <w:shd w:fill="FFFFFF" w:val="clear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воспитание культуры обмена мнениями.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МАОУ «Лицей» города Лесной в дни весенних каникул организовал каникулярную школу для учащихся 8 – 10 классов, на базе которой работало несколько мастерских.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Calibri" w:hAnsi="Calibri" w:eastAsia="Times New Roman" w:cs="Calibri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Мастерская, объединяющая учащихся, увлекающихся естественнонаучными дисциплинами, работала по программе</w:t>
      </w:r>
      <w:r>
        <w:rPr>
          <w:rFonts w:eastAsia="SimSun" w:ascii="Times New Roman" w:hAnsi="Times New Roman"/>
          <w:iCs/>
          <w:color w:val="000000"/>
          <w:sz w:val="28"/>
          <w:szCs w:val="28"/>
          <w:lang w:eastAsia="ru-RU"/>
        </w:rPr>
        <w:t xml:space="preserve"> «Витаминно-минеральные комплексы в современном мире».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eastAsia="SimSun" w:ascii="Times New Roman" w:hAnsi="Times New Roman"/>
          <w:b/>
          <w:iCs/>
          <w:color w:val="000000"/>
          <w:sz w:val="28"/>
          <w:szCs w:val="28"/>
          <w:lang w:eastAsia="ru-RU"/>
        </w:rPr>
        <w:t>Цель программы: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Разработка витаминно-минерального комплекса для жителей Уральского региона.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SimSun"/>
          <w:b/>
          <w:b/>
          <w:iCs/>
          <w:color w:val="000000"/>
          <w:sz w:val="28"/>
          <w:szCs w:val="28"/>
          <w:lang w:eastAsia="ru-RU"/>
        </w:rPr>
      </w:pPr>
      <w:r>
        <w:rPr>
          <w:rFonts w:eastAsia="SimSun" w:ascii="Times New Roman" w:hAnsi="Times New Roman"/>
          <w:b/>
          <w:iCs/>
          <w:color w:val="000000"/>
          <w:sz w:val="28"/>
          <w:szCs w:val="28"/>
          <w:lang w:eastAsia="ru-RU"/>
        </w:rPr>
        <w:t>Задачи программы: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firstLine="709"/>
        <w:jc w:val="both"/>
        <w:rPr>
          <w:rFonts w:ascii="Times New Roman" w:hAnsi="Times New Roman" w:eastAsia="SimSun"/>
          <w:bCs/>
          <w:iCs/>
          <w:color w:val="000000"/>
          <w:sz w:val="28"/>
          <w:szCs w:val="28"/>
          <w:lang w:eastAsia="ru-RU"/>
        </w:rPr>
      </w:pPr>
      <w:r>
        <w:rPr>
          <w:rFonts w:eastAsia="SimSun" w:ascii="Times New Roman" w:hAnsi="Times New Roman"/>
          <w:bCs/>
          <w:iCs/>
          <w:color w:val="000000"/>
          <w:sz w:val="28"/>
          <w:szCs w:val="28"/>
          <w:lang w:eastAsia="ru-RU"/>
        </w:rPr>
        <w:t>Рассмотреть базовые понятия о витаминах, микроэлементах и их влиянии на организм современного человека.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Изучить рынок витаминно-минеральных комплексов в городе Лесном.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Оценить эффективность исследуемых витаминно-минеральных комплексов.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Проанализировать пищевой рацион жителей уральского региона на предмет достаточного количества витаминов и минералов, необходимых для нормальной жизнедеятельности.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Предложить собственный состав витаминно-минерального комплекса с максимальной эффективностью для человека, проживающего в Уральском регионе.</w:t>
      </w:r>
    </w:p>
    <w:p>
      <w:pPr>
        <w:pStyle w:val="Normal"/>
        <w:spacing w:lineRule="auto" w:line="240" w:before="0" w:after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SimSun"/>
          <w:b/>
          <w:b/>
          <w:iCs/>
          <w:color w:val="000000"/>
          <w:sz w:val="28"/>
          <w:szCs w:val="28"/>
          <w:lang w:eastAsia="ru-RU"/>
        </w:rPr>
      </w:pPr>
      <w:r>
        <w:rPr>
          <w:rFonts w:eastAsia="SimSun" w:ascii="Times New Roman" w:hAnsi="Times New Roman"/>
          <w:b/>
          <w:iCs/>
          <w:color w:val="000000"/>
          <w:sz w:val="28"/>
          <w:szCs w:val="28"/>
          <w:lang w:eastAsia="ru-RU"/>
        </w:rPr>
        <w:t>Ключевые идеи программы: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SimSun"/>
          <w:b/>
          <w:b/>
          <w:iCs/>
          <w:color w:val="000000"/>
          <w:sz w:val="28"/>
          <w:szCs w:val="28"/>
          <w:lang w:eastAsia="ru-RU"/>
        </w:rPr>
      </w:pPr>
      <w:r>
        <w:rPr>
          <w:rFonts w:eastAsia="SimSun" w:ascii="Times New Roman" w:hAnsi="Times New Roman"/>
          <w:b/>
          <w:i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Требования и факты, которые необходимо учесть при решении проектной задачи: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витаминно-минеральный комплекс не должен наносить вред здоровью человека;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должен быть рассчитан на потребности человека, живущего в вашем регионе;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состав витаминно-минерального комплекса должно входить не менее 5 различных элементов.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SimSun"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 ходе учебной деятельности, организованной в форме моделирования простейших ситуаций, у обучающихся формируется мотивация к дальнейшему изучению этой сферы биохимии, что может повлиять на выбор будущей профессии. Обучающиеся, которые, попробовав создавать свой витаминно-минеральный комплекс в ходе учебной деятельности, поняли, что такое занятие не для них, тоже получат определённый важный результат.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Особое место в освоении программы отводится интерактивным формам обучения и проектной деятельности обучающихся, развивающих их инициативу, активность, ответственность, целеустремлённость.</w:t>
      </w:r>
      <w:r>
        <w:rPr>
          <w:rFonts w:eastAsia="SimSun" w:ascii="Times New Roman" w:hAnsi="Times New Roman"/>
          <w:iCs/>
          <w:color w:val="000000"/>
          <w:sz w:val="28"/>
          <w:szCs w:val="28"/>
          <w:lang w:eastAsia="ru-RU"/>
        </w:rPr>
        <w:t xml:space="preserve"> </w:t>
      </w:r>
      <w:r>
        <w:br w:type="page"/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Содержательный блок программы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/>
          <w:b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Планирование деятельности в рамках мастерской:</w:t>
      </w:r>
    </w:p>
    <w:tbl>
      <w:tblPr>
        <w:tblW w:w="4900" w:type="pct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922"/>
        <w:gridCol w:w="1950"/>
        <w:gridCol w:w="1974"/>
        <w:gridCol w:w="2866"/>
        <w:gridCol w:w="2255"/>
      </w:tblGrid>
      <w:tr>
        <w:trPr>
          <w:trHeight w:val="1170" w:hRule="atLeast"/>
        </w:trPr>
        <w:tc>
          <w:tcPr>
            <w:tcW w:w="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firstLine="20"/>
              <w:jc w:val="both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r>
          </w:p>
        </w:tc>
        <w:tc>
          <w:tcPr>
            <w:tcW w:w="3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firstLine="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Формулировка практической/проектной задачи, решаемой с детьми в рамках корпорации из расчета на один день.</w:t>
            </w:r>
          </w:p>
          <w:p>
            <w:pPr>
              <w:pStyle w:val="Normal"/>
              <w:widowControl w:val="false"/>
              <w:spacing w:before="0" w:after="0"/>
              <w:ind w:firstLine="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Описание сути того, что будет происходить в рамках корпорации (продолжительность работы мастерской в день не более 2,5 часов с учетом перерывов на короткий отдых)</w:t>
            </w:r>
          </w:p>
        </w:tc>
        <w:tc>
          <w:tcPr>
            <w:tcW w:w="22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firstLine="2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«Продукт дня», на который выходят дети по результатам работы в корпорации с представлением фотоматериалов, отчетов, схем, рисунков, интеллект-карт и т.д.</w:t>
            </w:r>
          </w:p>
        </w:tc>
      </w:tr>
      <w:tr>
        <w:trPr/>
        <w:tc>
          <w:tcPr>
            <w:tcW w:w="9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firstLine="20"/>
              <w:jc w:val="both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Совместная работа с кураторами</w:t>
            </w:r>
          </w:p>
          <w:p>
            <w:pPr>
              <w:pStyle w:val="Normal"/>
              <w:widowControl w:val="false"/>
              <w:spacing w:before="0" w:after="0"/>
              <w:ind w:firstLine="2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Индивидуальная работа детей, если она предусмотрена</w:t>
            </w:r>
          </w:p>
          <w:p>
            <w:pPr>
              <w:pStyle w:val="Normal"/>
              <w:widowControl w:val="false"/>
              <w:spacing w:before="0" w:after="0"/>
              <w:ind w:firstLine="2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8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2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firstLine="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firstLine="20"/>
              <w:jc w:val="both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День 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Витамины и микроэлементы – основа активного образа жизни современного человека.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Работа со справочными материалами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Повторение курсов биологии 8 класса и органической химии 9 класса о биологическиактивных веществах. Выявление самых значимых витаминов и минералов.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Создание списка витаминов и минералов, наиболее значимых для жизнедеятельности организма человека. (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Почему вы выбрали именно эти элементы? Обоснуйте свой ответ).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firstLine="20"/>
              <w:jc w:val="both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День 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Синергисты и антагонисты в  составе витаминно-минеральных комплексов.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Работа по созданию сводной таблицы «Витамины, минералы - синергисты, антагонисты»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Витаминно-минеральный комплекс (мультивитамины) - добавки, которые предназначены для снабжения человеческого организма витаминами, минералами и другими питательными элементами. Главным показателем эффективности витаминно-минеральных комплексов является количество синергистов и антагонистов в их составе. Чем больше синергистов и меньше антагонистов в составе комплекса, тем более вероятно, что при его приёме будет достигнут ожидаемый эффект.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Разработка сводной таблицы «Витамины, минералы - синергисты, антагонисты»</w:t>
            </w:r>
          </w:p>
        </w:tc>
      </w:tr>
      <w:tr>
        <w:trPr/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jc w:val="both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День 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Исследование витаминно-минеральных комплексов.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Разработка таблицы синергизма и антагонизма для комплекса витаминов.</w:t>
            </w:r>
          </w:p>
          <w:p>
            <w:pPr>
              <w:pStyle w:val="Normal"/>
              <w:widowControl w:val="false"/>
              <w:spacing w:before="0" w:after="0"/>
              <w:ind w:firstLine="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Шаблон таблицы  имеется.</w:t>
            </w:r>
          </w:p>
          <w:p>
            <w:pPr>
              <w:pStyle w:val="Normal"/>
              <w:widowControl w:val="false"/>
              <w:spacing w:before="0" w:after="0"/>
              <w:ind w:firstLine="2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Проектная задача кейса:</w:t>
            </w:r>
          </w:p>
          <w:p>
            <w:pPr>
              <w:pStyle w:val="Normal"/>
              <w:widowControl w:val="false"/>
              <w:spacing w:before="0" w:after="0"/>
              <w:ind w:firstLine="2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Оценить эффективность исследуемых витаминно-минеральных комплексов.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Исследуемые витаминно-минеральные комплексы: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Cs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«Алфавит»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Cs/>
                <w:i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2. «Витрум»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Cs/>
                <w:i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3. «Компливит»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Cs/>
                <w:i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4. «Супрадин»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Cs/>
                <w:i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5. «Центрум»</w:t>
            </w:r>
          </w:p>
          <w:p>
            <w:pPr>
              <w:pStyle w:val="Normal"/>
              <w:widowControl w:val="false"/>
              <w:spacing w:before="0" w:after="0"/>
              <w:ind w:firstLine="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собственной таблицы синергизма и антагонизма для одного из исследуемых витаминно-минеральных комплексов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>
            <w:pPr>
              <w:pStyle w:val="Normal"/>
              <w:widowControl w:val="false"/>
              <w:spacing w:before="0" w:after="0"/>
              <w:ind w:firstLine="20"/>
              <w:jc w:val="both"/>
              <w:rPr>
                <w:rFonts w:ascii="Times New Roman" w:hAnsi="Times New Roman"/>
                <w:i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jc w:val="both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День 4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Влияние пищевого рациона на поступление витаминов и микроэлементов в организм человека.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Работа со справочными материалами.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Анализ микроэлементного состава продуктов питания. Расчёт дозы биологическиактивного вещества, поступающего с порцией пищи.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firstLine="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Выявление группы витаминов и минералов, которые в достаточном количестве поступают с пищей у жителей Урала.</w:t>
            </w:r>
          </w:p>
        </w:tc>
      </w:tr>
      <w:tr>
        <w:trPr/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jc w:val="both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День 5</w:t>
            </w:r>
          </w:p>
        </w:tc>
        <w:tc>
          <w:tcPr>
            <w:tcW w:w="3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Конкурсное задание, которое выполняют участники внутри корпорации индивидуально:</w:t>
            </w:r>
          </w:p>
          <w:p>
            <w:pPr>
              <w:pStyle w:val="Normal"/>
              <w:widowControl w:val="false"/>
              <w:spacing w:before="0" w:after="0"/>
              <w:ind w:firstLine="2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spacing w:before="0" w:after="0"/>
              <w:ind w:firstLine="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Создание </w:t>
            </w:r>
            <w:r>
              <w:rPr>
                <w:rFonts w:ascii="Times New Roman" w:hAnsi="Times New Roman"/>
                <w:sz w:val="28"/>
                <w:szCs w:val="28"/>
              </w:rPr>
              <w:t>витаминно-минерального комплекса для жителей Урала.</w:t>
            </w:r>
          </w:p>
          <w:p>
            <w:pPr>
              <w:pStyle w:val="Normal"/>
              <w:widowControl w:val="false"/>
              <w:spacing w:before="0" w:after="0"/>
              <w:ind w:firstLine="2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1. Приведите вашу гипотезу исследования в которой определено какие витамины необходимы человеку в вашем регионе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pacing w:lineRule="auto" w:line="240" w:before="0" w:after="0"/>
              <w:ind w:left="0" w:hanging="36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2. Приведите состав разработанного вами витаминно-минерального комплекса. </w:t>
            </w:r>
            <w:bookmarkStart w:id="0" w:name="OLE_LINK1"/>
            <w:bookmarkStart w:id="1" w:name="OLE_LINK2"/>
            <w:r>
              <w:rPr>
                <w:rFonts w:ascii="Times New Roman" w:hAnsi="Times New Roman"/>
                <w:bCs/>
                <w:sz w:val="28"/>
                <w:szCs w:val="28"/>
              </w:rPr>
              <w:t>Почему вы выбрали именно эти элементы? Обоснуйте свой ответ.</w:t>
            </w:r>
            <w:bookmarkEnd w:id="0"/>
            <w:bookmarkEnd w:id="1"/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pacing w:lineRule="auto" w:line="240" w:before="0" w:after="0"/>
              <w:ind w:left="0" w:hanging="36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3. Как вы считаете, какой эффект на организм человека произведет ваш витаминно-минеральный комплекс? Обоснуйте свой ответ.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pacing w:lineRule="auto" w:line="240" w:before="0" w:after="0"/>
              <w:ind w:left="0" w:hanging="36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4. Сколько среди витаминов и минеральных веществ данного комплекса пар синергистов, сколько пар антагонистов? Приведите таблицу «Синергизм и антагонизм витаминов и минеральных веществ» для вашего комплекса.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pacing w:lineRule="auto" w:line="240" w:before="0" w:after="0"/>
              <w:ind w:left="0" w:hanging="360"/>
              <w:rPr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5. Опишите не менее 3-х конкурентных преимуществ предложенного вами витаминно-минерального комплекса</w:t>
            </w:r>
            <w:r>
              <w:rPr>
                <w:bCs/>
                <w:sz w:val="28"/>
                <w:szCs w:val="28"/>
              </w:rPr>
              <w:t>.</w:t>
            </w:r>
          </w:p>
          <w:p>
            <w:pPr>
              <w:pStyle w:val="Normal"/>
              <w:widowControl w:val="false"/>
              <w:spacing w:before="0" w:after="0"/>
              <w:ind w:firstLine="2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Критерии оценивания:</w:t>
            </w:r>
          </w:p>
          <w:p>
            <w:pPr>
              <w:pStyle w:val="Normal"/>
              <w:widowControl w:val="false"/>
              <w:spacing w:before="0" w:after="0"/>
              <w:ind w:firstLine="2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0"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актуальность проекта;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0"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социальная ориентация;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0"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оригинальность идеи;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0"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грамотная презентация проекта;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0"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реальность и достижимость целей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0"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определенность во времени.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Индивидуальные работы участников корпорации</w:t>
            </w:r>
          </w:p>
          <w:p>
            <w:pPr>
              <w:pStyle w:val="Normal"/>
              <w:widowControl w:val="false"/>
              <w:spacing w:before="0" w:after="0"/>
              <w:ind w:firstLine="2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spacing w:before="0" w:after="0"/>
              <w:ind w:firstLine="2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Один победитель</w:t>
            </w:r>
          </w:p>
        </w:tc>
      </w:tr>
      <w:tr>
        <w:trPr/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firstLine="20"/>
              <w:jc w:val="both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ИТОГ</w:t>
            </w:r>
          </w:p>
        </w:tc>
        <w:tc>
          <w:tcPr>
            <w:tcW w:w="90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3" w:leader="none"/>
              </w:tabs>
              <w:spacing w:before="0" w:after="0"/>
              <w:ind w:left="74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представленными проектами возможен выход на городскую НПК.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63" w:leader="none"/>
              </w:tabs>
              <w:spacing w:before="0" w:after="0"/>
              <w:ind w:left="74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Calibri" w:cs="Times New Roman"/>
          <w:sz w:val="28"/>
          <w:szCs w:val="28"/>
          <w:shd w:fill="FFFFFF" w:val="clear"/>
        </w:rPr>
      </w:pPr>
      <w:r>
        <w:rPr>
          <w:rFonts w:eastAsia="Calibri" w:cs="Times New Roman" w:ascii="Times New Roman" w:hAnsi="Times New Roman"/>
          <w:sz w:val="28"/>
          <w:szCs w:val="28"/>
          <w:shd w:fill="FFFFFF" w:val="clear"/>
        </w:rPr>
        <w:t>Список литературы</w:t>
      </w:r>
    </w:p>
    <w:p>
      <w:pPr>
        <w:pStyle w:val="ListParagraph"/>
        <w:numPr>
          <w:ilvl w:val="1"/>
          <w:numId w:val="4"/>
        </w:numPr>
        <w:rPr>
          <w:rFonts w:ascii="Times New Roman" w:hAnsi="Times New Roman"/>
          <w:sz w:val="28"/>
          <w:szCs w:val="28"/>
          <w:shd w:fill="FFFFFF" w:val="clear"/>
        </w:rPr>
      </w:pPr>
      <w:r>
        <w:rPr>
          <w:rFonts w:ascii="Times New Roman" w:hAnsi="Times New Roman"/>
          <w:sz w:val="28"/>
          <w:szCs w:val="28"/>
          <w:shd w:fill="FFFFFF" w:val="clear"/>
        </w:rPr>
        <w:t>Кейс-метод в педагогическом образовании. Теория и технология реализации. Тематический сборник кейсов. Учебное пособие / Андриади Ирина Петровна. - М.: Московский психолого-социальный университет (МПСУ), </w:t>
      </w:r>
      <w:r>
        <w:rPr>
          <w:rStyle w:val="Strong"/>
          <w:rFonts w:ascii="Times New Roman" w:hAnsi="Times New Roman"/>
          <w:b w:val="false"/>
          <w:sz w:val="28"/>
          <w:szCs w:val="28"/>
          <w:shd w:fill="FFFFFF" w:val="clear"/>
        </w:rPr>
        <w:t>2020</w:t>
      </w:r>
      <w:r>
        <w:rPr>
          <w:rFonts w:ascii="Times New Roman" w:hAnsi="Times New Roman"/>
          <w:b/>
          <w:sz w:val="28"/>
          <w:szCs w:val="28"/>
          <w:shd w:fill="FFFFFF" w:val="clear"/>
        </w:rPr>
        <w:t>. - </w:t>
      </w:r>
      <w:r>
        <w:rPr>
          <w:rStyle w:val="Strong"/>
          <w:rFonts w:ascii="Times New Roman" w:hAnsi="Times New Roman"/>
          <w:b w:val="false"/>
          <w:sz w:val="28"/>
          <w:szCs w:val="28"/>
          <w:shd w:fill="FFFFFF" w:val="clear"/>
        </w:rPr>
        <w:t>719</w:t>
      </w:r>
      <w:r>
        <w:rPr>
          <w:rFonts w:ascii="Times New Roman" w:hAnsi="Times New Roman"/>
          <w:b/>
          <w:sz w:val="28"/>
          <w:szCs w:val="28"/>
          <w:shd w:fill="FFFFFF" w:val="clear"/>
        </w:rPr>
        <w:t> </w:t>
      </w:r>
      <w:r>
        <w:rPr>
          <w:rFonts w:ascii="Times New Roman" w:hAnsi="Times New Roman"/>
          <w:sz w:val="28"/>
          <w:szCs w:val="28"/>
          <w:shd w:fill="FFFFFF" w:val="clear"/>
        </w:rPr>
        <w:t>c.</w:t>
      </w:r>
    </w:p>
    <w:p>
      <w:pPr>
        <w:pStyle w:val="ListParagraph"/>
        <w:numPr>
          <w:ilvl w:val="1"/>
          <w:numId w:val="4"/>
        </w:numPr>
        <w:rPr>
          <w:rStyle w:val="Strong"/>
          <w:rFonts w:ascii="Times New Roman" w:hAnsi="Times New Roman"/>
          <w:b w:val="false"/>
          <w:b w:val="false"/>
          <w:sz w:val="28"/>
          <w:szCs w:val="28"/>
          <w:shd w:fill="FFFFFF" w:val="clear"/>
        </w:rPr>
      </w:pPr>
      <w:r>
        <w:rPr>
          <w:rStyle w:val="Strong"/>
          <w:rFonts w:ascii="Times New Roman" w:hAnsi="Times New Roman"/>
          <w:b w:val="false"/>
          <w:sz w:val="28"/>
          <w:szCs w:val="28"/>
          <w:shd w:fill="FFFFFF" w:val="clear"/>
        </w:rPr>
        <w:t>Обучение через развлечение: Edutainment лагерь как технология современного образования / Голышев Г., Поплавская К., Ерошина Ю. – Москва: Альпина Паблишер, 2021. – 351с.</w:t>
      </w:r>
    </w:p>
    <w:p>
      <w:pPr>
        <w:pStyle w:val="ListParagraph"/>
        <w:numPr>
          <w:ilvl w:val="1"/>
          <w:numId w:val="4"/>
        </w:numPr>
        <w:rPr>
          <w:rStyle w:val="Strong"/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sz w:val="28"/>
          <w:szCs w:val="28"/>
          <w:shd w:fill="FFFFFF" w:val="clear"/>
        </w:rPr>
        <w:t>Пожитнева В.В. Кейс-технологии для развития одаренности//Химия в школе.-2008.-№4.-С.13-17</w:t>
      </w:r>
    </w:p>
    <w:p>
      <w:pPr>
        <w:pStyle w:val="ListParagraph"/>
        <w:numPr>
          <w:ilvl w:val="1"/>
          <w:numId w:val="4"/>
        </w:numPr>
        <w:rPr>
          <w:rStyle w:val="Strong"/>
          <w:rFonts w:ascii="Times New Roman" w:hAnsi="Times New Roman"/>
          <w:b w:val="false"/>
          <w:b w:val="false"/>
          <w:sz w:val="28"/>
          <w:szCs w:val="28"/>
          <w:shd w:fill="FFFFFF" w:val="clear"/>
        </w:rPr>
      </w:pPr>
      <w:r>
        <w:rPr>
          <w:rStyle w:val="Strong"/>
          <w:rFonts w:ascii="Times New Roman" w:hAnsi="Times New Roman"/>
          <w:b w:val="false"/>
          <w:sz w:val="28"/>
          <w:szCs w:val="28"/>
          <w:shd w:fill="FFFFFF" w:val="clear"/>
        </w:rPr>
        <w:t>Современные образовательные технологии. Кейс-стади: учебное пособие для академического бакалавриата / С. Ю. Попова, Е. В. Пронина. — 2-е изд., испр. и доп. — Москва: Издательство Юрайт, 2018. — 126 с.</w:t>
      </w:r>
    </w:p>
    <w:p>
      <w:pPr>
        <w:pStyle w:val="ListParagraph"/>
        <w:numPr>
          <w:ilvl w:val="0"/>
          <w:numId w:val="4"/>
        </w:numPr>
        <w:rPr>
          <w:rStyle w:val="Strong"/>
          <w:rFonts w:ascii="Times New Roman" w:hAnsi="Times New Roman"/>
          <w:b w:val="false"/>
          <w:b w:val="false"/>
          <w:sz w:val="28"/>
          <w:szCs w:val="28"/>
          <w:shd w:fill="FFFFFF" w:val="clear"/>
        </w:rPr>
      </w:pPr>
      <w:bookmarkStart w:id="2" w:name="_GoBack"/>
      <w:bookmarkEnd w:id="2"/>
      <w:r>
        <w:rPr>
          <w:rStyle w:val="Strong"/>
          <w:rFonts w:ascii="Times New Roman" w:hAnsi="Times New Roman"/>
          <w:b w:val="false"/>
          <w:sz w:val="28"/>
          <w:szCs w:val="28"/>
          <w:shd w:fill="FFFFFF" w:val="clear"/>
        </w:rPr>
        <w:t>Современные образовательные технологии: учебное пособие / под ред. Н.В. Бордовской. — 3-е изд., стер. — М.: КНОРУС, 2013. - 432 с.</w:t>
      </w:r>
    </w:p>
    <w:p>
      <w:pPr>
        <w:pStyle w:val="ListParagraph"/>
        <w:ind w:left="1440" w:hanging="0"/>
        <w:rPr>
          <w:rStyle w:val="Strong"/>
          <w:rFonts w:ascii="Times New Roman" w:hAnsi="Times New Roman"/>
          <w:b w:val="false"/>
          <w:b w:val="false"/>
          <w:sz w:val="28"/>
          <w:szCs w:val="28"/>
          <w:shd w:fill="FFFFFF" w:val="clear"/>
        </w:rPr>
      </w:pPr>
      <w:r>
        <w:rPr>
          <w:rFonts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Normal"/>
        <w:rPr>
          <w:rStyle w:val="Strong"/>
          <w:rFonts w:ascii="Times New Roman" w:hAnsi="Times New Roman" w:cs="Times New Roman"/>
          <w:b w:val="false"/>
          <w:b w:val="false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Normal"/>
        <w:shd w:val="clear" w:color="auto" w:fill="FFFFFF"/>
        <w:spacing w:lineRule="atLeast" w:line="30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sectPr>
      <w:type w:val="nextPage"/>
      <w:pgSz w:w="11906" w:h="16838"/>
      <w:pgMar w:left="885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Calibri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0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</w:rPr>
    </w:lvl>
    <w:lvl w:ilvl="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cs="Calibri" w:hint="default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cs="Calibri" w:hint="default"/>
      </w:rPr>
    </w:lvl>
    <w:lvl w:ilvl="4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cs="Calibri" w:hint="default"/>
      </w:rPr>
    </w:lvl>
    <w:lvl w:ilvl="5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cs="Calibri" w:hint="default"/>
      </w:rPr>
    </w:lvl>
    <w:lvl w:ilvl="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cs="Calibri" w:hint="default"/>
      </w:rPr>
    </w:lvl>
    <w:lvl w:ilvl="7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cs="Calibri" w:hint="default"/>
      </w:rPr>
    </w:lvl>
    <w:lvl w:ilvl="8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cs="Calibri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next w:val="Normal"/>
    <w:link w:val="21"/>
    <w:uiPriority w:val="9"/>
    <w:semiHidden/>
    <w:unhideWhenUsed/>
    <w:qFormat/>
    <w:rsid w:val="00234846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4" w:customStyle="1">
    <w:name w:val="c4"/>
    <w:basedOn w:val="DefaultParagraphFont"/>
    <w:qFormat/>
    <w:rsid w:val="00f76b79"/>
    <w:rPr/>
  </w:style>
  <w:style w:type="character" w:styleId="C37" w:customStyle="1">
    <w:name w:val="c37"/>
    <w:basedOn w:val="DefaultParagraphFont"/>
    <w:qFormat/>
    <w:rsid w:val="00f76b79"/>
    <w:rPr/>
  </w:style>
  <w:style w:type="character" w:styleId="C15" w:customStyle="1">
    <w:name w:val="c15"/>
    <w:basedOn w:val="DefaultParagraphFont"/>
    <w:qFormat/>
    <w:rsid w:val="00f76b79"/>
    <w:rPr/>
  </w:style>
  <w:style w:type="character" w:styleId="Strong">
    <w:name w:val="Strong"/>
    <w:basedOn w:val="DefaultParagraphFont"/>
    <w:uiPriority w:val="22"/>
    <w:qFormat/>
    <w:rsid w:val="00703c42"/>
    <w:rPr>
      <w:b/>
      <w:bCs/>
    </w:rPr>
  </w:style>
  <w:style w:type="character" w:styleId="21" w:customStyle="1">
    <w:name w:val="Заголовок 2 Знак"/>
    <w:basedOn w:val="DefaultParagraphFont"/>
    <w:uiPriority w:val="9"/>
    <w:semiHidden/>
    <w:qFormat/>
    <w:rsid w:val="00234846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0" w:customStyle="1">
    <w:name w:val="c0"/>
    <w:basedOn w:val="Normal"/>
    <w:qFormat/>
    <w:rsid w:val="00f76b7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" w:customStyle="1">
    <w:name w:val="c1"/>
    <w:basedOn w:val="Normal"/>
    <w:qFormat/>
    <w:rsid w:val="00f76b7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3d28cc"/>
    <w:pPr>
      <w:spacing w:lineRule="auto" w:line="276" w:before="0" w:after="200"/>
      <w:ind w:left="720" w:hanging="0"/>
    </w:pPr>
    <w:rPr>
      <w:rFonts w:ascii="Calibri" w:hAnsi="Calibri" w:eastAsia="Calibri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Application>LibreOffice/7.4.0.3$Windows_x86 LibreOffice_project/f85e47c08ddd19c015c0114a68350214f7066f5a</Application>
  <AppVersion>15.0000</AppVersion>
  <Pages>7</Pages>
  <Words>1214</Words>
  <Characters>8999</Characters>
  <CharactersWithSpaces>10121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2023-12-24T14:22:00Z</dcterms:created>
  <dc:creator>Lenovo</dc:creator>
  <dc:description/>
  <dc:language>ru-RU</dc:language>
  <cp:lastModifiedBy/>
  <cp:lastPrinted>2023-12-25T14:06:24Z</cp:lastPrinted>
  <dcterms:modified xsi:type="dcterms:W3CDTF">2023-12-25T14:51:36Z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