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hanging="0"/>
        <w:jc w:val="center"/>
        <w:rPr>
          <w:b/>
          <w:b/>
          <w:bCs/>
          <w:sz w:val="24"/>
          <w:szCs w:val="24"/>
        </w:rPr>
      </w:pPr>
      <w:r>
        <w:rPr>
          <w:rFonts w:eastAsia="Calibri" w:cs="Liberation Serif"/>
          <w:b/>
          <w:bCs/>
          <w:sz w:val="24"/>
          <w:szCs w:val="24"/>
          <w:lang w:eastAsia="en-US"/>
        </w:rPr>
        <w:t xml:space="preserve"> </w:t>
      </w:r>
      <w:bookmarkStart w:id="0" w:name="docs-internal-guid-0d4d105a-7fff-a5a5-b2"/>
      <w:bookmarkEnd w:id="0"/>
      <w:r>
        <w:rPr>
          <w:b/>
          <w:bCs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Участие в региональном проекте «Реверсивное наставничество»</w:t>
      </w:r>
      <w:r>
        <w:rPr>
          <w:b/>
          <w:bCs/>
          <w:sz w:val="24"/>
          <w:szCs w:val="24"/>
        </w:rPr>
        <w:t xml:space="preserve"> </w:t>
      </w:r>
    </w:p>
    <w:p>
      <w:pPr>
        <w:pStyle w:val="Normal"/>
        <w:bidi w:val="0"/>
        <w:ind w:hanging="0"/>
        <w:jc w:val="center"/>
        <w:rPr>
          <w:b/>
          <w:b/>
          <w:bCs/>
          <w:sz w:val="24"/>
          <w:szCs w:val="24"/>
        </w:rPr>
      </w:pPr>
      <w:r>
        <w:rPr>
          <w:rFonts w:eastAsia="Calibri" w:cs="Liberation Serif"/>
          <w:b/>
          <w:bCs/>
          <w:lang w:eastAsia="en-US"/>
        </w:rPr>
        <w:t>01.09.2022-31.05.2023</w:t>
      </w:r>
    </w:p>
    <w:p>
      <w:pPr>
        <w:pStyle w:val="Normal"/>
        <w:bidi w:val="0"/>
        <w:ind w:hanging="0"/>
        <w:jc w:val="left"/>
        <w:rPr>
          <w:rFonts w:ascii="Liberation Serif" w:hAnsi="Liberation Serif" w:eastAsia="Calibri" w:cs="Liberation Serif"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Liberation Serif"/>
          <w:color w:val="000000"/>
          <w:kern w:val="0"/>
          <w:sz w:val="24"/>
          <w:szCs w:val="24"/>
          <w:lang w:val="ru-RU" w:eastAsia="en-US" w:bidi="ar-SA"/>
        </w:rPr>
        <w:t>Анкетирование педагогов ( 4 человека)</w:t>
      </w:r>
    </w:p>
    <w:p>
      <w:pPr>
        <w:pStyle w:val="Normal"/>
        <w:bidi w:val="0"/>
        <w:ind w:hanging="0"/>
        <w:jc w:val="left"/>
        <w:rPr>
          <w:rFonts w:ascii="Liberation Serif" w:hAnsi="Liberation Serif" w:eastAsia="Calibri" w:cs="Liberation Serif"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Liberation Serif"/>
          <w:color w:val="000000"/>
          <w:kern w:val="0"/>
          <w:sz w:val="24"/>
          <w:szCs w:val="24"/>
          <w:lang w:val="ru-RU" w:eastAsia="en-US" w:bidi="ar-SA"/>
        </w:rPr>
      </w:r>
    </w:p>
    <w:tbl>
      <w:tblPr>
        <w:tblW w:w="5000" w:type="pct"/>
        <w:jc w:val="left"/>
        <w:tblInd w:w="-2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bidi w:val="0"/>
              <w:jc w:val="center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Выступление (Региональный уровень)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1" w:name="docs-internal-guid-2ed220a4-7fff-f3dd-39"/>
            <w:bookmarkEnd w:id="1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7.12</w:t>
            </w:r>
            <w:r>
              <w:rPr>
                <w:rFonts w:eastAsia="Calibri" w:cs="Liberation Serif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 xml:space="preserve"> “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Реверсивное наставничество: проблемы и перспективы. Распространение опыта”(Герасимовская Е.Е., Ляхова Е.Ю., Полонянкина Н.В.)</w:t>
            </w:r>
          </w:p>
        </w:tc>
      </w:tr>
    </w:tbl>
    <w:p>
      <w:pPr>
        <w:pStyle w:val="Normal"/>
        <w:bidi w:val="0"/>
        <w:ind w:hanging="0"/>
        <w:jc w:val="center"/>
        <w:rPr>
          <w:rFonts w:ascii="Liberation Serif" w:hAnsi="Liberation Serif" w:eastAsia="Calibri" w:cs="Liberation Serif"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Liberation Serif"/>
          <w:color w:val="000000"/>
          <w:kern w:val="0"/>
          <w:sz w:val="24"/>
          <w:szCs w:val="24"/>
          <w:lang w:val="ru-RU" w:eastAsia="en-US" w:bidi="ar-SA"/>
        </w:rPr>
      </w:r>
    </w:p>
    <w:tbl>
      <w:tblPr>
        <w:tblW w:w="5000" w:type="pct"/>
        <w:jc w:val="left"/>
        <w:tblInd w:w="-2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bidi w:val="0"/>
              <w:jc w:val="center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Очное участие (г. Екатеринбург)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2" w:name="docs-internal-guid-73f1e137-7fff-9fb7-ce"/>
            <w:bookmarkEnd w:id="2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24.10. Методический день учителя для наставнических пар “Повышаем уровень профессионального мастерства”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(Ляхова Е.Ю., Полонянкина Н.В.)</w:t>
            </w:r>
          </w:p>
        </w:tc>
      </w:tr>
    </w:tbl>
    <w:p>
      <w:pPr>
        <w:pStyle w:val="Normal"/>
        <w:bidi w:val="0"/>
        <w:ind w:left="1800" w:hanging="0"/>
        <w:jc w:val="left"/>
        <w:rPr>
          <w:rFonts w:ascii="Liberation Serif" w:hAnsi="Liberation Serif" w:eastAsia="Calibri" w:cs="Liberation Serif"/>
          <w:b/>
          <w:b/>
          <w:bCs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Liberation Serif"/>
          <w:b/>
          <w:bCs/>
          <w:color w:val="000000"/>
          <w:kern w:val="0"/>
          <w:sz w:val="24"/>
          <w:szCs w:val="24"/>
          <w:lang w:val="ru-RU" w:eastAsia="en-US" w:bidi="ar-SA"/>
        </w:rPr>
      </w:r>
    </w:p>
    <w:tbl>
      <w:tblPr>
        <w:tblW w:w="5000" w:type="pct"/>
        <w:jc w:val="left"/>
        <w:tblInd w:w="-2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bidi w:val="0"/>
              <w:jc w:val="center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Онлайн участие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lineRule="auto" w:line="240" w:before="0" w:after="0"/>
              <w:jc w:val="both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3" w:name="docs-internal-guid-0fecce5b-7fff-01ab-09"/>
            <w:bookmarkEnd w:id="3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Практики наставничества “Как помочь молодому педагогу в организации самообразования? ”</w:t>
            </w:r>
          </w:p>
          <w:p>
            <w:pPr>
              <w:pStyle w:val="Style16"/>
              <w:widowControl w:val="false"/>
              <w:bidi w:val="0"/>
              <w:spacing w:lineRule="auto" w:line="240" w:before="0" w:after="0"/>
              <w:jc w:val="both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(Ляхова Е.Ю., Гаврилова Е.А.)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220" w:after="140"/>
              <w:jc w:val="both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 xml:space="preserve">28.09. </w:t>
            </w:r>
            <w:bookmarkStart w:id="4" w:name="docs-internal-guid-81bddb83-7fff-0263-a3"/>
            <w:bookmarkEnd w:id="4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Методический день учителя «Повышаем уровень профессионального мастерства»Темы дня:1. Семинар «Структура и требования к уроку в соответствии с требованиями ФГОС», 2. Семинар «План воспитательной работы: структура и особенности составления», 3. Семинар «Личностно-ориентированный подход в воспитательной деятельности в школе» (Ляхова Е.Ю., Гаврилова Е.А., Ерина Д.А., Полонянкина Н.В.)</w:t>
            </w:r>
          </w:p>
        </w:tc>
      </w:tr>
      <w:tr>
        <w:trPr>
          <w:trHeight w:val="1680" w:hRule="atLeast"/>
        </w:trPr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lineRule="auto" w:line="240" w:before="220" w:after="140"/>
              <w:jc w:val="both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30.09.Методический день учителя «Повышаем уровень профессионального мастерства» Темы дня:1. Семинар «Достижение образовательных результатов обучающихся: контроль и оценка», 2. Мастер-класс «Формирование метапредметных результатов в проектной деятельности»</w:t>
            </w: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(Ляхова Е.Ю., 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Гаврилова Е.А., Ерина Д.А., Полонянкина Н.В.)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5" w:name="docs-internal-guid-94933298-7fff-fbfc-a4"/>
            <w:bookmarkEnd w:id="5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05.10Методический день учителя «Повышаем уровень профессионального мастерства» по Теме: «Пути и способы формирования коммуникативных компетенций обучающихся в образовательном процессе»</w:t>
            </w:r>
          </w:p>
          <w:p>
            <w:pPr>
              <w:pStyle w:val="Style16"/>
              <w:widowControl w:val="false"/>
              <w:bidi w:val="0"/>
              <w:spacing w:lineRule="auto" w:line="240" w:before="0" w:after="0"/>
              <w:jc w:val="both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(Ерина Д.А., Полонянкина Н.В.)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lineRule="auto" w:line="240" w:before="0" w:after="14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6" w:name="docs-internal-guid-eb9f6d5b-7fff-a81a-52"/>
            <w:bookmarkEnd w:id="6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18.10 Методический день учителя “Авторитет учителя в глазах детей, в детском коллективе: эффективные формы взаимодействия”</w:t>
            </w: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(Ляхова Е.Ю., 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Гаврилова Е.А.)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Liberation Serif" w:hAnsi="Liberation Serif" w:eastAsia="Calibri" w:cs="Liberation 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</w:pPr>
            <w:bookmarkStart w:id="7" w:name="docs-internal-guid-8a5944c9-7fff-dcb8-f5"/>
            <w:bookmarkEnd w:id="7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26.10. Вебинар “Способы оценки эффективности реализации целевой модели наставничества”</w:t>
            </w:r>
          </w:p>
          <w:p>
            <w:pPr>
              <w:pStyle w:val="Style16"/>
              <w:widowControl w:val="false"/>
              <w:bidi w:val="0"/>
              <w:spacing w:lineRule="auto" w:line="240" w:before="0" w:after="0"/>
              <w:jc w:val="both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(Ляхова Е.Ю., Гаврилова Е.А.)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8" w:name="docs-internal-guid-29c85894-7fff-44b8-ab"/>
            <w:bookmarkEnd w:id="8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28.10.”Практики наставничества. Образовательный марафон.” Эффективные программы Наставничества”</w:t>
            </w: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(Ляхова Е.Ю.)</w:t>
            </w:r>
          </w:p>
          <w:p>
            <w:pPr>
              <w:pStyle w:val="Style20"/>
              <w:widowControl w:val="false"/>
              <w:bidi w:val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before="0" w:after="14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9" w:name="docs-internal-guid-565c2bbe-7fff-4b3c-4b"/>
            <w:bookmarkEnd w:id="9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02.11. Практики наставничества “Цифровые инструменты и сервисы в работе учителя” и “Ораторское искусство”(Ляхова Е.Ю., Гаврилова Е.А., Ерина Д.А., Полонянкина Н.В.)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bidi w:val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11.11 </w:t>
            </w:r>
            <w:bookmarkStart w:id="10" w:name="docs-internal-guid-7efbe3c7-7fff-f2f0-47"/>
            <w:bookmarkEnd w:id="10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Образовательный марафон “Эффективное сотрудничество наставнических пар” (Ляхова Е.Ю., Гаврилова Е.А., Ерина Д.А., Полонянкина Н.В.)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before="0" w:after="14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11" w:name="docs-internal-guid-a4afd3ad-7fff-051e-d7"/>
            <w:bookmarkEnd w:id="11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16.11. Практики наставничества  “Эффективные способы взаимодействия с субъектами образовательных отношений”(Ляхова Е.Ю., Гаврилова Е.А.)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bidi w:val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22.11. </w:t>
            </w:r>
            <w:bookmarkStart w:id="12" w:name="docs-internal-guid-431cbed1-7fff-0446-7d"/>
            <w:bookmarkEnd w:id="12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Вебинар «Личный бренд педагога 3.0»</w:t>
            </w: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(Ляхова Е.Ю., Гаврилова Е.А., Ерина Д.А., Полонянкина Н.В.)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</w:pPr>
            <w:bookmarkStart w:id="13" w:name="docs-internal-guid-664fb869-7fff-07f6-37"/>
            <w:bookmarkEnd w:id="13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07.12 Мероприятие Практики наставничества «Реверсивное наставничество: проблемы и перспективы»</w:t>
            </w:r>
          </w:p>
          <w:p>
            <w:pPr>
              <w:pStyle w:val="Style16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b w:val="false"/>
                <w:color w:val="000000"/>
                <w:kern w:val="0"/>
                <w:sz w:val="24"/>
                <w:szCs w:val="24"/>
                <w:lang w:val="ru-RU" w:eastAsia="en-US" w:bidi="ar-SA"/>
              </w:rPr>
              <w:t>(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 xml:space="preserve"> Гаврилова Е.А., Ерина Д.А.)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14" w:name="docs-internal-guid-ec1d94c2-7fff-1667-85"/>
            <w:bookmarkEnd w:id="14"/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21.12 Методический день учителя "Soft skills: навыки педагога будущего": 1. «Профилактика профессионального выгорания педагогических работников и мотивация на достижение единых целей» 2. «Медиаграмотность и надпрофессиональные навыки в педагогической деятельности учителя» 3. «Создание дидактических материалов с использованием цифровых платформ» (Герасимовская Е.Е.)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15" w:name="docs-internal-guid-e4969f2e-7fff-0e94-81"/>
            <w:bookmarkEnd w:id="15"/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18.01.</w:t>
            </w:r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 xml:space="preserve">23 </w:t>
            </w:r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Вебинар “Практики наставничества. Выстраивание взаимодействия образовательной организации и профессиональных сообществ для реализации целевой модели наставничества”.</w:t>
            </w: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(Герасимовская Е.Е.,  Ляхова Е.Ю., Гаврилова Е.А., Ерина Д.А., Полонянкина Н.В.)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16" w:name="docs-internal-guid-027eaf4f-7fff-4c9a-fa"/>
            <w:bookmarkEnd w:id="16"/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01.02.</w:t>
            </w:r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23</w:t>
            </w:r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 xml:space="preserve">Вебинар ЦНППМ Практики наставничества. Методическая мастерская “Модели смешанного обучения” </w:t>
            </w:r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Ерина Д.А., Полонянкина Н.В., Ляхова Е.Ю., Гаврилова Е.А.,)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17" w:name="docs-internal-guid-f3fbf237-7fff-980d-b1"/>
            <w:bookmarkEnd w:id="17"/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08.02.</w:t>
            </w:r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23</w:t>
            </w:r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Практики наставничества, вебинар “Пути и способы формирования коммуникативных компетенций обучающихся в образовательном процессе”</w:t>
            </w: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(Герасимовская Е.Е.,  Ляхова Е.Ю., Гаврилова Е.А.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)</w:t>
            </w:r>
          </w:p>
          <w:p>
            <w:pPr>
              <w:pStyle w:val="Style16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bookmarkStart w:id="18" w:name="docs-internal-guid-2809a95b-7fff-ca4a-c6"/>
            <w:bookmarkEnd w:id="18"/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FFFFFF" w:val="clear"/>
                <w:lang w:val="ru-RU" w:eastAsia="en-US" w:bidi="ar-SA"/>
              </w:rPr>
              <w:t xml:space="preserve">05.05.23 </w:t>
            </w:r>
            <w:r>
              <w:rPr>
                <w:rFonts w:eastAsia="Calibri" w:cs="Liberation Serif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FFFFFF" w:val="clear"/>
                <w:lang w:val="ru-RU" w:eastAsia="en-US" w:bidi="ar-SA"/>
              </w:rPr>
              <w:t xml:space="preserve">Работа в региональной фокус группе по разработке документов по наставничеству на площадке ЦНППМ  «Учитель будущего», г. Екатеринбург 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(Герасимовская Е.Е.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)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6"/>
              <w:widowControl w:val="false"/>
              <w:bidi w:val="0"/>
              <w:spacing w:before="0" w:after="0"/>
              <w:jc w:val="left"/>
              <w:rPr>
                <w:rFonts w:ascii="Liberation Serif" w:hAnsi="Liberation Serif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С 25.05.23 Разработка форм нормативно-правовых документов, структуры работы участников системы наставничества в образовательной организации </w:t>
            </w:r>
            <w:r>
              <w:rPr>
                <w:rFonts w:eastAsia="Calibri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sz w:val="24"/>
                <w:szCs w:val="24"/>
                <w:u w:val="none"/>
                <w:effect w:val="none"/>
                <w:shd w:fill="auto" w:val="clear"/>
                <w:lang w:val="ru-RU" w:eastAsia="en-US" w:bidi="ar-SA"/>
              </w:rPr>
              <w:t>(Герасимовская Е.Е.)</w:t>
            </w:r>
          </w:p>
        </w:tc>
      </w:tr>
    </w:tbl>
    <w:p>
      <w:pPr>
        <w:pStyle w:val="Normal"/>
        <w:bidi w:val="0"/>
        <w:jc w:val="left"/>
        <w:rPr>
          <w:rFonts w:ascii="Liberation Serif" w:hAnsi="Liberation Serif" w:eastAsia="Calibri" w:cs="Liberation Serif"/>
          <w:color w:val="000000"/>
          <w:kern w:val="0"/>
          <w:sz w:val="24"/>
          <w:szCs w:val="24"/>
          <w:lang w:val="ru-RU" w:eastAsia="en-US" w:bidi="ar-SA"/>
        </w:rPr>
      </w:pPr>
      <w:r>
        <w:rPr/>
      </w:r>
    </w:p>
    <w:p>
      <w:pPr>
        <w:pStyle w:val="Normal"/>
        <w:bidi w:val="0"/>
        <w:jc w:val="left"/>
        <w:rPr>
          <w:rFonts w:ascii="Liberation Serif" w:hAnsi="Liberation Serif" w:eastAsia="Calibri" w:cs="Liberation Serif"/>
          <w:color w:val="000000"/>
          <w:kern w:val="0"/>
          <w:sz w:val="24"/>
          <w:szCs w:val="24"/>
          <w:lang w:val="ru-RU" w:eastAsia="en-US" w:bidi="ar-SA"/>
        </w:rPr>
      </w:pPr>
      <w:r>
        <w:rPr/>
      </w:r>
    </w:p>
    <w:p>
      <w:pPr>
        <w:pStyle w:val="Normal"/>
        <w:bidi w:val="0"/>
        <w:jc w:val="left"/>
        <w:rPr>
          <w:rFonts w:ascii="Liberation Serif" w:hAnsi="Liberation Serif" w:eastAsia="Calibri" w:cs="Liberation Serif"/>
          <w:color w:val="000000"/>
          <w:kern w:val="0"/>
          <w:sz w:val="24"/>
          <w:szCs w:val="24"/>
          <w:lang w:val="ru-RU" w:eastAsia="en-US" w:bidi="ar-SA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Hyperlink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LibreOffice/7.4.0.3$Windows_x86 LibreOffice_project/f85e47c08ddd19c015c0114a68350214f7066f5a</Application>
  <AppVersion>15.0000</AppVersion>
  <Pages>2</Pages>
  <Words>418</Words>
  <Characters>3432</Characters>
  <CharactersWithSpaces>3825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2023-06-05T14:07:55Z</dcterms:created>
  <dc:creator/>
  <dc:description/>
  <dc:language>ru-RU</dc:language>
  <cp:lastModifiedBy/>
  <dcterms:modified xsi:type="dcterms:W3CDTF">2023-06-05T14:26:33Z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